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5.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85"/>
        <w:gridCol w:w="5970"/>
        <w:tblGridChange w:id="0">
          <w:tblGrid>
            <w:gridCol w:w="2685"/>
            <w:gridCol w:w="5970"/>
          </w:tblGrid>
        </w:tblGridChange>
      </w:tblGrid>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 Key Sub-contractors, [the Guarantor] and the [Monitored Suppliers]];</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M “M</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onitored Suppliers”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sz w:val="24"/>
                <w:szCs w:val="24"/>
                <w:rtl w:val="0"/>
              </w:rPr>
              <w:t xml:space="preserve">   “R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ating Agencies”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T 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 rating agencies listed in Annex 1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sz w:val="24"/>
                <w:szCs w:val="24"/>
                <w:rtl w:val="0"/>
              </w:rPr>
              <w:t xml:space="preserve">   “S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trategic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w:t>
            </w:r>
            <w:r w:rsidDel="00000000" w:rsidR="00000000" w:rsidRPr="00000000">
              <w:rPr>
                <w:rFonts w:ascii="Arial" w:cs="Arial" w:eastAsia="Arial" w:hAnsi="Arial"/>
                <w:sz w:val="24"/>
                <w:szCs w:val="24"/>
                <w:rtl w:val="0"/>
              </w:rPr>
              <w:t xml:space="preserve">to the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of this Joint Schedule 7 (where specified) and in any event, on a regular basis and no less than once a year within ninety (90) days after the Accounting Reference Date; and</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of this Joint Schedule 7, and for the purposes of determining relief under Paragraph 7.1 of this Joint Schedule 7,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of this Joint Schedule 7 shall:</w:t>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notifying CCS or the Buyer that the Supplier has not satisfied any material sums properly due under a specified invoice and not subject to a genuine dispute;</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of this Joint Schedule 7 for any of the FDE Group entities failing to meet the required Financial Target Threshold.</w:t>
      </w:r>
    </w:p>
    <w:p w:rsidR="00000000" w:rsidDel="00000000" w:rsidP="00000000" w:rsidRDefault="00000000" w:rsidRPr="00000000" w14:paraId="0000004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 of this Joint Schedule 7.</w:t>
      </w:r>
    </w:p>
    <w:p w:rsidR="00000000" w:rsidDel="00000000" w:rsidP="00000000" w:rsidRDefault="00000000" w:rsidRPr="00000000" w14:paraId="0000004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of this Joint Schedule 7, the Relevant Authority shall not exercise any of its rights or remedies under Paragraph 4.3 of this Joint Schedule 7 without first giving the Supplier 10 Working Days to:</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of this Joint Schedule 7 that the Financial Distress Event could impact on the continued performance and delivery of the Deliverables in accordance with the Contract:</w:t>
      </w:r>
    </w:p>
    <w:p w:rsidR="00000000" w:rsidDel="00000000" w:rsidP="00000000" w:rsidRDefault="00000000" w:rsidRPr="00000000" w14:paraId="0000004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of this Joint Schedule 7,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 of this Joint Schedule 7.</w:t>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4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4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268"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of this Joint Schedule 7, submit an updated Financial Distress Remediation Plan to the Relevant Authority for its approval, and the provisions of Paragraphs 4.4 and 4.5 of this Joint Schedule 7 shall apply to the review and approval process for the updated Financial Distress Remediation Plan; and</w:t>
      </w:r>
    </w:p>
    <w:p w:rsidR="00000000" w:rsidDel="00000000" w:rsidP="00000000" w:rsidRDefault="00000000" w:rsidRPr="00000000" w14:paraId="0000005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of this Joint Schedule 7  (or the circumstance or matter which has caused or otherwise led to it) no longer exists, it shall notify the Relevant Authority and the Parties may agree that the Supplier shall be relieved of its obligations under Paragraph 4.6 of this Joint Schedule 7.</w:t>
      </w:r>
    </w:p>
    <w:p w:rsidR="00000000" w:rsidDel="00000000" w:rsidP="00000000" w:rsidRDefault="00000000" w:rsidRPr="00000000" w14:paraId="000000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of this Joint Schedule 7 is available when required and on request from the Relevant Authority and within reasonable timescales. Such measures may include:</w:t>
      </w:r>
    </w:p>
    <w:p w:rsidR="00000000" w:rsidDel="00000000" w:rsidP="00000000" w:rsidRDefault="00000000" w:rsidRPr="00000000" w14:paraId="0000005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Indicator</w:t>
            </w:r>
          </w:p>
        </w:tc>
        <w:tc>
          <w:tcPr>
            <w:shd w:fill="d9d9d9"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Calculation</w:t>
            </w:r>
            <w:r w:rsidDel="00000000" w:rsidR="00000000" w:rsidRPr="00000000">
              <w:rPr>
                <w:rFonts w:ascii="Arial" w:cs="Arial" w:eastAsia="Arial" w:hAnsi="Arial"/>
                <w:sz w:val="24"/>
                <w:szCs w:val="24"/>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Target Threshold:</w:t>
            </w:r>
          </w:p>
        </w:tc>
        <w:tc>
          <w:tcPr>
            <w:shd w:fill="d9d9d9"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sz w:val="24"/>
                <w:szCs w:val="24"/>
              </w:rPr>
            </w:pPr>
            <w:bookmarkStart w:colFirst="0" w:colLast="0" w:name="_heading=h.3dy6vkm" w:id="0"/>
            <w:bookmarkEnd w:id="0"/>
            <w:r w:rsidDel="00000000" w:rsidR="00000000" w:rsidRPr="00000000">
              <w:rPr>
                <w:rFonts w:ascii="Arial" w:cs="Arial" w:eastAsia="Arial" w:hAnsi="Arial"/>
                <w:sz w:val="24"/>
                <w:szCs w:val="24"/>
                <w:rtl w:val="0"/>
              </w:rPr>
              <w:t xml:space="preserve">Monitoring and Reporting Frequency [if different from the default position set out in Paragraph 2.3(b)]</w:t>
            </w:r>
          </w:p>
        </w:tc>
      </w:tr>
      <w:tr>
        <w:trPr>
          <w:cantSplit w:val="0"/>
          <w:tblHeader w:val="0"/>
        </w:trPr>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Operating Margin</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OR</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The higher of (a) the Operating Margin for the most recent 12 month period and (b) the average Operating Margin for the last two 12 month periods</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Operating Margin = Operating Profit / Revenue</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&amp; 2:</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&gt;5%</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3 &amp; 4:</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N/A</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120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highlight w:val="whit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2</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to EBITDA Ratio</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7030a0"/>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Net Debt to EBITDA ratio = Net Debt / EBITDA</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7030a0"/>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2, 3 &amp; 4</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&lt; 3.5  times</w:t>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w:t>
            </w:r>
            <w:r w:rsidDel="00000000" w:rsidR="00000000" w:rsidRPr="00000000">
              <w:rPr>
                <w:rFonts w:ascii="Arial" w:cs="Arial" w:eastAsia="Arial" w:hAnsi="Arial"/>
                <w:b w:val="0"/>
                <w:i w:val="1"/>
                <w:smallCaps w:val="0"/>
                <w:strike w:val="0"/>
                <w:color w:val="7030a0"/>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in arrears within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120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days of each accounting reference date based upon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Free Cash Flow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 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BITDA for the 12 months ending on, and Net Debt at, the relevant accounting reference date </w:t>
            </w:r>
          </w:p>
        </w:tc>
      </w:tr>
      <w:tr>
        <w:trPr>
          <w:cantSplit w:val="0"/>
          <w:tblHeader w:val="0"/>
        </w:trPr>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highlight w:val="whit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3</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 Net Pension Deficit to EBITDA ratio</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&amp; 2    &lt; 5 times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3 &amp; 4</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N/A</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in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90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da</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4</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Interest Paid Cover</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&gt; 3 times</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w:t>
            </w:r>
            <w:r w:rsidDel="00000000" w:rsidR="00000000" w:rsidRPr="00000000">
              <w:rPr>
                <w:rFonts w:ascii="Arial" w:cs="Arial" w:eastAsia="Arial" w:hAnsi="Arial"/>
                <w:b w:val="0"/>
                <w:i w:val="1"/>
                <w:smallCaps w:val="0"/>
                <w:strike w:val="0"/>
                <w:color w:val="8064a2"/>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in arrears within </w:t>
            </w:r>
            <w:r w:rsidDel="00000000" w:rsidR="00000000" w:rsidRPr="00000000">
              <w:rPr>
                <w:rFonts w:ascii="Arial" w:cs="Arial" w:eastAsia="Arial" w:hAnsi="Arial"/>
                <w:smallCaps w:val="0"/>
                <w:strike w:val="0"/>
                <w:sz w:val="24"/>
                <w:szCs w:val="24"/>
                <w:highlight w:val="white"/>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days of each accounting reference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5</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Acid Ratio</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Acid Ratio = (Current Assets – Inventories) / Current Liabilities</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&amp; 2   &gt;0.8  times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3 &amp; 4</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&gt;0.8</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days of each accounting reference date  based upon figures at the relevant accounting reference date</w:t>
            </w:r>
            <w:r w:rsidDel="00000000" w:rsidR="00000000" w:rsidRPr="00000000">
              <w:rPr>
                <w:rFonts w:ascii="Arial" w:cs="Arial" w:eastAsia="Arial" w:hAnsi="Arial"/>
                <w:b w:val="0"/>
                <w:i w:val="1"/>
                <w:smallCaps w:val="0"/>
                <w:strike w:val="0"/>
                <w:color w:val="8064a2"/>
                <w:sz w:val="24"/>
                <w:szCs w:val="24"/>
                <w:highlight w:val="white"/>
                <w:u w:val="none"/>
                <w:vertAlign w:val="baseline"/>
                <w:rtl w:val="0"/>
              </w:rPr>
              <w:t xml:space="preserv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6</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Asset value</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Net Asset Value = Net Assets</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1,2 3 &amp; 4                   &gt; £0</w:t>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120</w:t>
            </w:r>
            <w:r w:rsidDel="00000000" w:rsidR="00000000" w:rsidRPr="00000000">
              <w:rPr>
                <w:rFonts w:ascii="Arial" w:cs="Arial" w:eastAsia="Arial" w:hAnsi="Arial"/>
                <w:b w:val="0"/>
                <w:i w:val="1"/>
                <w:smallCaps w:val="0"/>
                <w:strike w:val="0"/>
                <w:color w:val="8064a2"/>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days of each accounting reference date  based upon figures at the relevant accounting reference date </w:t>
            </w:r>
          </w:p>
        </w:tc>
      </w:tr>
      <w:tr>
        <w:trPr>
          <w:cantSplit w:val="0"/>
          <w:tblHeader w:val="0"/>
        </w:trPr>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7</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Group Exposure Ratio</w:t>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[Group Exposure / Gross Assets]</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1 &amp; 2   [&lt;50%</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Lots 3 &amp; 4 N/A</w:t>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8</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yellow"/>
                <w:u w:val="none"/>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Financial Target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yellow"/>
                <w:u w:val="none"/>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w:t>
            </w:r>
            <w:r w:rsidDel="00000000" w:rsidR="00000000" w:rsidRPr="00000000">
              <w:rPr>
                <w:rFonts w:ascii="Arial" w:cs="Arial" w:eastAsia="Arial" w:hAnsi="Arial"/>
                <w:b w:val="1"/>
                <w:sz w:val="24"/>
                <w:szCs w:val="24"/>
                <w:highlight w:val="yellow"/>
                <w:rtl w:val="0"/>
              </w:rPr>
              <w:t xml:space="preserve">description</w:t>
            </w: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w:t>
            </w:r>
          </w:p>
        </w:tc>
        <w:tc>
          <w:tcP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p>
        </w:tc>
        <w:tc>
          <w:tcP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p>
        </w:tc>
        <w:tc>
          <w:tcP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yellow"/>
                <w:u w:val="none"/>
                <w:vertAlign w:val="baseline"/>
              </w:rPr>
            </w:pPr>
            <w:r w:rsidDel="00000000" w:rsidR="00000000" w:rsidRPr="00000000">
              <w:rPr>
                <w:rFonts w:ascii="Arial" w:cs="Arial" w:eastAsia="Arial" w:hAnsi="Arial"/>
                <w:b w:val="0"/>
                <w:i w:val="1"/>
                <w:smallCaps w:val="0"/>
                <w:strike w:val="0"/>
                <w:sz w:val="24"/>
                <w:szCs w:val="24"/>
                <w:highlight w:val="yellow"/>
                <w:u w:val="none"/>
                <w:vertAlign w:val="baseline"/>
                <w:rtl w:val="0"/>
              </w:rPr>
              <w:t xml:space="preserve">[etc.]</w:t>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851"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of this Joint Schedule 7 which are to apply to the Monitored Suppliers)</w:t>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 of this Joint Schedule 7;</w:t>
      </w:r>
    </w:p>
    <w:p w:rsidR="00000000" w:rsidDel="00000000" w:rsidP="00000000" w:rsidRDefault="00000000" w:rsidRPr="00000000" w14:paraId="000000A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of this Joint Schedule 7; and/or</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 of this Joint Schedule 7,</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of this Joint Schedule 7, if, following the occurrence of a Financial Distress Event pursuant to any of Paragraphs 3.1.2 to 3.1.7 of this Joint Schedule 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of this Joint Schedule 7; and</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of this Joint Schedule 7.</w:t>
      </w:r>
    </w:p>
    <w:p w:rsidR="00000000" w:rsidDel="00000000" w:rsidP="00000000" w:rsidRDefault="00000000" w:rsidRPr="00000000" w14:paraId="000000B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B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Joint Schedule 7,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1701"/>
        </w:tabs>
        <w:spacing w:after="120" w:before="120" w:line="240" w:lineRule="auto"/>
        <w:ind w:left="1701" w:right="0" w:hanging="76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enquiry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all relevant Supplier Staff and other persons as is reasonably necessary to understand and confirm the position.</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Joint Schedule 7.</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Joint Schedule 7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&amp; Bradstreet</w:t>
      </w:r>
    </w:p>
    <w:p w:rsidR="00000000" w:rsidDel="00000000" w:rsidP="00000000" w:rsidRDefault="00000000" w:rsidRPr="00000000" w14:paraId="000000BD">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&amp; 2: 40</w:t>
            </w:r>
          </w:p>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3 &amp; 4: 25</w:t>
            </w:r>
          </w:p>
        </w:tc>
      </w:tr>
      <w:tr>
        <w:trPr>
          <w:cantSplit w:val="0"/>
          <w:tblHeader w:val="0"/>
        </w:trPr>
        <w:tc>
          <w:tcPr>
            <w:shd w:fill="ffffff" w:val="clear"/>
          </w:tcPr>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Guarantor</w:t>
            </w:r>
          </w:p>
        </w:tc>
        <w:tc>
          <w:tcPr>
            <w:shd w:fill="ffffff" w:val="clear"/>
          </w:tcPr>
          <w:p w:rsidR="00000000" w:rsidDel="00000000" w:rsidP="00000000" w:rsidRDefault="00000000" w:rsidRPr="00000000" w14:paraId="000000C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&amp; 2: 40</w:t>
            </w:r>
          </w:p>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3 &amp; 4: 25</w:t>
            </w:r>
          </w:p>
        </w:tc>
      </w:tr>
    </w:tbl>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bookmarkStart w:colFirst="0" w:colLast="0" w:name="_heading=h.qsh70q" w:id="4"/>
      <w:bookmarkEnd w:id="4"/>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1</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Operating Margin</w:t>
            </w:r>
          </w:p>
        </w:tc>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Free Cash Flow to Net Debt Rati</w:t>
            </w:r>
            <w:r w:rsidDel="00000000" w:rsidR="00000000" w:rsidRPr="00000000">
              <w:rPr>
                <w:rFonts w:ascii="Arial" w:cs="Arial" w:eastAsia="Arial" w:hAnsi="Arial"/>
                <w:b w:val="1"/>
                <w:sz w:val="24"/>
                <w:szCs w:val="24"/>
                <w:highlight w:val="white"/>
                <w:rtl w:val="0"/>
              </w:rPr>
              <w:t xml:space="preserve">o</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to EBITDA Ratio</w:t>
            </w:r>
          </w:p>
        </w:tc>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Net Cash Flow from Operating Activities – Capital Expenditure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Purchase of property, plant &amp; equipment + purchase of intangible assets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This should be stated after deduction of interest and tax paid.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 + Depreciation charge + Amortisation charge</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bookmarkStart w:colFirst="0" w:colLast="0" w:name="_heading=h.3as4poj" w:id="5"/>
            <w:bookmarkEnd w:id="5"/>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 Net  Pension Deficit to EBITDA ratio</w:t>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Retirement Benefit Obligations – Retirement Benefit Assets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 + Depreciation charge + Amortisation charge</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non-designated hedges). Borrowings should also include balances owed to other group members.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bookmarkStart w:colFirst="0" w:colLast="0" w:name="_heading=h.1pxezwc" w:id="6"/>
            <w:bookmarkEnd w:id="6"/>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4</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Interest Paid Cover</w:t>
            </w:r>
          </w:p>
        </w:tc>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Interest paid – Interest received</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Interest received and interest paid should be shown on the face of the Cash Flow statement.</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5</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Acid Ratio</w:t>
            </w:r>
          </w:p>
        </w:tc>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6</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Asset value</w:t>
            </w:r>
          </w:p>
        </w:tc>
        <w:tc>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7</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Group Exposure Ratio</w:t>
            </w:r>
          </w:p>
        </w:tc>
        <w:tc>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Fixed Assets + Current Assets</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Balances owed by (</w:t>
            </w:r>
            <w:r w:rsidDel="00000000" w:rsidR="00000000" w:rsidRPr="00000000">
              <w:rPr>
                <w:rFonts w:ascii="Arial" w:cs="Arial" w:eastAsia="Arial" w:hAnsi="Arial"/>
                <w:sz w:val="24"/>
                <w:szCs w:val="24"/>
                <w:highlight w:val="white"/>
                <w:rtl w:val="0"/>
              </w:rPr>
              <w:t xml:space="preserve">i.e. receivable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49x2ik5" w:id="7"/>
      <w:bookmarkEnd w:id="7"/>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enquiry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all relevant Supplier Staff and other persons as is reasonably necessary to enable the Board to prepare this statement.</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7">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8">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14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1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5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1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1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lier [the Guarantor] or any Key Subcontractor]</w:t>
            </w:r>
          </w:p>
        </w:tc>
      </w:tr>
      <w:tr>
        <w:trPr>
          <w:cantSplit w:val="0"/>
          <w:tblHeader w:val="0"/>
        </w:trPr>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1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6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Annex 5 shall survive: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the written calculations reque</w:t>
      </w:r>
      <w:r w:rsidDel="00000000" w:rsidR="00000000" w:rsidRPr="00000000">
        <w:rPr>
          <w:rFonts w:ascii="Arial" w:cs="Arial" w:eastAsia="Arial" w:hAnsi="Arial"/>
          <w:sz w:val="24"/>
          <w:szCs w:val="24"/>
          <w:rtl w:val="0"/>
        </w:rPr>
        <w:t xml:space="preserve">sted by the 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w:t>
      </w:r>
    </w:p>
    <w:p w:rsidR="00000000" w:rsidDel="00000000" w:rsidP="00000000" w:rsidRDefault="00000000" w:rsidRPr="00000000" w14:paraId="000001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6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6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of this Annex 5 without first giving the Supplier ten (10) Working Days to:</w:t>
      </w:r>
    </w:p>
    <w:p w:rsidR="00000000" w:rsidDel="00000000" w:rsidP="00000000" w:rsidRDefault="00000000" w:rsidRPr="00000000" w14:paraId="000001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of this Annex 5)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7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w:t>
      </w:r>
      <w:r w:rsidDel="00000000" w:rsidR="00000000" w:rsidRPr="00000000">
        <w:rPr>
          <w:rFonts w:ascii="Arial" w:cs="Arial" w:eastAsia="Arial" w:hAnsi="Arial"/>
          <w:sz w:val="24"/>
          <w:szCs w:val="24"/>
          <w:rtl w:val="0"/>
        </w:rPr>
        <w:t xml:space="preserve">performance of each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and delivery of the Deliverables in accordance with each Call-Off Contract;</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of this Annex 5, submit an updated Financial Distress Service Continuity Plan to CCS for its Approval, and the provisions of Paragraphs 4.5 and 4.6 of this Annex 5 shall apply to the review and Approval process for the updated Financial Distress Service Continuity Plan; and </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of this Annex 5. </w:t>
      </w:r>
    </w:p>
    <w:p w:rsidR="00000000" w:rsidDel="00000000" w:rsidP="00000000" w:rsidRDefault="00000000" w:rsidRPr="00000000" w14:paraId="000001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7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of this Annex 5; </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of this Annex 5; and/or</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 of this Annex 5.</w:t>
      </w:r>
    </w:p>
    <w:p w:rsidR="00000000" w:rsidDel="00000000" w:rsidP="00000000" w:rsidRDefault="00000000" w:rsidRPr="00000000" w14:paraId="000001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 of the Core Terms.</w:t>
      </w:r>
    </w:p>
    <w:p w:rsidR="00000000" w:rsidDel="00000000" w:rsidP="00000000" w:rsidRDefault="00000000" w:rsidRPr="00000000" w14:paraId="0000018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6r0co2" w:id="25"/>
      <w:bookmarkEnd w:id="2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of this Annex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of this Annex 5; and</w:t>
      </w:r>
    </w:p>
    <w:p w:rsidR="00000000" w:rsidDel="00000000" w:rsidP="00000000" w:rsidRDefault="00000000" w:rsidRPr="00000000" w14:paraId="000001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of this Annex 5. </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26"/>
      <w:bookmarkEnd w:id="26"/>
      <w:r w:rsidDel="00000000" w:rsidR="00000000" w:rsidRPr="00000000">
        <w:rPr>
          <w:rtl w:val="0"/>
        </w:rPr>
      </w:r>
    </w:p>
    <w:p w:rsidR="00000000" w:rsidDel="00000000" w:rsidP="00000000" w:rsidRDefault="00000000" w:rsidRPr="00000000" w14:paraId="0000018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lwamvv" w:id="27"/>
      <w:bookmarkEnd w:id="27"/>
      <w:r w:rsidDel="00000000" w:rsidR="00000000" w:rsidRPr="00000000">
        <w:br w:type="page"/>
      </w:r>
      <w:r w:rsidDel="00000000" w:rsidR="00000000" w:rsidRPr="00000000">
        <w:rPr>
          <w:rtl w:val="0"/>
        </w:rPr>
      </w:r>
    </w:p>
    <w:p w:rsidR="00000000" w:rsidDel="00000000" w:rsidP="00000000" w:rsidRDefault="00000000" w:rsidRPr="00000000" w14:paraId="0000018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111kx3o" w:id="28"/>
      <w:bookmarkEnd w:id="28"/>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p>
    <w:p w:rsidR="00000000" w:rsidDel="00000000" w:rsidP="00000000" w:rsidRDefault="00000000" w:rsidRPr="00000000" w14:paraId="0000018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&amp; Bradstreet</w:t>
      </w:r>
    </w:p>
    <w:p w:rsidR="00000000" w:rsidDel="00000000" w:rsidP="00000000" w:rsidRDefault="00000000" w:rsidRPr="00000000" w14:paraId="0000018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l18frh" w:id="29"/>
      <w:bookmarkEnd w:id="29"/>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8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7"/>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8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9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9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w:t>
            </w:r>
          </w:p>
        </w:tc>
      </w:tr>
      <w:tr>
        <w:trPr>
          <w:cantSplit w:val="0"/>
          <w:tblHeader w:val="0"/>
        </w:trPr>
        <w:tc>
          <w:tcPr>
            <w:shd w:fill="ffffff" w:val="clear"/>
          </w:tcPr>
          <w:p w:rsidR="00000000" w:rsidDel="00000000" w:rsidP="00000000" w:rsidRDefault="00000000" w:rsidRPr="00000000" w14:paraId="0000019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Guarantor</w:t>
            </w:r>
          </w:p>
        </w:tc>
        <w:tc>
          <w:tcPr>
            <w:gridSpan w:val="2"/>
            <w:shd w:fill="ffffff" w:val="clear"/>
          </w:tcPr>
          <w:p w:rsidR="00000000" w:rsidDel="00000000" w:rsidP="00000000" w:rsidRDefault="00000000" w:rsidRPr="00000000" w14:paraId="0000019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w:t>
            </w:r>
          </w:p>
        </w:tc>
      </w:tr>
    </w:tbl>
    <w:p w:rsidR="00000000" w:rsidDel="00000000" w:rsidP="00000000" w:rsidRDefault="00000000" w:rsidRPr="00000000" w14:paraId="0000019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8">
      <w:pPr>
        <w:spacing w:after="200" w:line="276" w:lineRule="auto"/>
        <w:jc w:val="left"/>
        <w:rPr>
          <w:rFonts w:ascii="Arial" w:cs="Arial" w:eastAsia="Arial" w:hAnsi="Arial"/>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E">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0">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3"/>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4"/>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4"/>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6"/>
      </w:numPr>
    </w:pPr>
  </w:style>
  <w:style w:type="numbering" w:styleId="Scheduleheading" w:customStyle="1">
    <w:name w:val="Schedule heading"/>
    <w:uiPriority w:val="99"/>
    <w:rsid w:val="0034142A"/>
    <w:pPr>
      <w:numPr>
        <w:numId w:val="7"/>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B0g73EbtYCtyFB6phqBCrb6yzw==">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2022-08-05T14:22:00Z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